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396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5</w:t>
      </w:r>
    </w:p>
    <w:p w14:paraId="02000000">
      <w:pPr>
        <w:widowControl w:val="1"/>
        <w:ind w:firstLine="0" w:left="396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Регламента предоставления услуги </w:t>
      </w:r>
      <w:r>
        <w:rPr>
          <w:rFonts w:ascii="Times New Roman" w:hAnsi="Times New Roman"/>
        </w:rPr>
        <w:t>«Прием на обучение по образовательным программам начального общего, основного общего и среднего общего образования» на территории г.о. Красногорск МО, утвержденному постановлением администрации г.о. Красногорск МО</w:t>
      </w:r>
    </w:p>
    <w:p w14:paraId="03000000">
      <w:pPr>
        <w:pStyle w:val="Style_1"/>
        <w:widowControl w:val="1"/>
        <w:spacing w:line="276" w:lineRule="auto"/>
        <w:ind w:firstLine="0" w:left="3969"/>
        <w:jc w:val="lef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от «31» марта 2025г. № 888/3</w:t>
      </w:r>
    </w:p>
    <w:p w14:paraId="04000000">
      <w:pPr>
        <w:pStyle w:val="Style_1"/>
        <w:widowControl w:val="1"/>
        <w:spacing w:line="276" w:lineRule="auto"/>
        <w:ind w:firstLine="0" w:left="0"/>
        <w:jc w:val="center"/>
        <w:outlineLvl w:val="1"/>
        <w:rPr>
          <w:rFonts w:ascii="Times New Roman" w:hAnsi="Times New Roman"/>
          <w:sz w:val="28"/>
        </w:rPr>
      </w:pPr>
    </w:p>
    <w:p w14:paraId="05000000">
      <w:pPr>
        <w:pStyle w:val="Style_1"/>
        <w:widowControl w:val="1"/>
        <w:spacing w:line="276" w:lineRule="auto"/>
        <w:ind w:firstLine="0" w:lef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общих признаков, по которым объединяются </w:t>
      </w:r>
      <w:r>
        <w:rPr>
          <w:rFonts w:ascii="Times New Roman" w:hAnsi="Times New Roman"/>
          <w:sz w:val="28"/>
        </w:rPr>
        <w:t xml:space="preserve">категории заявителей, а также комбинации признаков заявителей, </w:t>
      </w:r>
      <w:r>
        <w:rPr>
          <w:rFonts w:ascii="Times New Roman" w:hAnsi="Times New Roman"/>
          <w:sz w:val="28"/>
        </w:rPr>
        <w:t xml:space="preserve">каждая из которых соответствует одному варианту предоставления услуги «Прием на обучение по образовательным программам начального общего, основного общего и среднего общего образования» </w:t>
      </w:r>
    </w:p>
    <w:p w14:paraId="06000000">
      <w:pPr>
        <w:pStyle w:val="Style_1"/>
        <w:widowControl w:val="1"/>
        <w:spacing w:line="276" w:lineRule="auto"/>
        <w:ind w:firstLine="0" w:left="0"/>
        <w:jc w:val="center"/>
        <w:outlineLvl w:val="1"/>
        <w:rPr>
          <w:rFonts w:ascii="Times New Roman" w:hAnsi="Times New Roman"/>
          <w:sz w:val="28"/>
        </w:rPr>
      </w:pPr>
    </w:p>
    <w:p w14:paraId="07000000">
      <w:pPr>
        <w:pStyle w:val="Style_1"/>
        <w:widowControl w:val="1"/>
        <w:spacing w:line="276" w:lineRule="auto"/>
        <w:ind w:firstLine="0" w:lef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признаки, по которым объединяются категории заявителей</w:t>
      </w:r>
    </w:p>
    <w:tbl>
      <w:tblPr>
        <w:tblStyle w:val="Style_2"/>
        <w:tblW w:type="auto" w:w="0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728"/>
        <w:gridCol w:w="3044"/>
        <w:gridCol w:w="11905"/>
      </w:tblGrid>
      <w:tr>
        <w:tc>
          <w:tcPr>
            <w:tcW w:type="dxa" w:w="728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8000000">
            <w:pPr>
              <w:pStyle w:val="Style_3"/>
              <w:widowControl w:val="1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44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9000000">
            <w:pPr>
              <w:pStyle w:val="Style_3"/>
              <w:widowControl w:val="1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признаки</w:t>
            </w:r>
          </w:p>
        </w:tc>
        <w:tc>
          <w:tcPr>
            <w:tcW w:type="dxa" w:w="119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A000000">
            <w:pPr>
              <w:pStyle w:val="Style_3"/>
              <w:widowControl w:val="1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</w:t>
            </w:r>
          </w:p>
        </w:tc>
      </w:tr>
      <w:tr>
        <w:tc>
          <w:tcPr>
            <w:tcW w:type="dxa" w:w="72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B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304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C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 или поступающими, включая их уполномоченных представителей</w:t>
            </w:r>
          </w:p>
        </w:tc>
        <w:tc>
          <w:tcPr>
            <w:tcW w:type="dxa" w:w="119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D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Обратившиеся с запросом о приеме на обучение в первый класс детей (в период с 1 апреля по 30 июня текущего года): Имеющих внеочередное право зачисления в Организацию. Имеющую интернат, и являющихся детьми: Прокуроров. Судей. Сотрудников Следственного комитета Российской Федерации. По месту жительства и являющихся детьми: Военнослужащих и детьми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усыновленными (удочеренными) или находящимися под опекой или попечительством в семье, включая приемную семью либо в случаях, предусмотренных законами </w:t>
            </w:r>
            <w:r>
              <w:rPr>
                <w:rFonts w:ascii="Times New Roman" w:hAnsi="Times New Roman"/>
                <w:sz w:val="28"/>
              </w:rPr>
              <w:t xml:space="preserve">субъектов Российской Федерации, патронатную семью. Детям сотрудника войск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Имеющих первоочередное право зачисления в Организацию по месту жительства и являющихся детьми: Военнослужащих и (или) детьми граждан, пребывающих в добровольческих формированиях, в том числе усыновленными (удочеренными) или находящимися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 Сотрудников полиции. Сотрудников полиции, погибших (умерших) вследствие увечья или иного повреждения здоровья, полученных в связи с выполнением служебных обязанностей. Сотрудников полиции, умерших вследствие заболевания, полученного в период прохождения службы в полиции.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 Граждан </w:t>
            </w:r>
            <w:r>
              <w:rPr>
                <w:rFonts w:ascii="Times New Roman" w:hAnsi="Times New Roman"/>
                <w:sz w:val="28"/>
              </w:rPr>
              <w:t xml:space="preserve">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 Находящимися (находившимися) на иждивении сотрудника полиции, гражданина Российской Федерации, указанных в пунктах 17.1.1.1.2.2 – 17.1.1.1.2.6 настоящего Регламента. Сотрудников органов внутренних дел, не являющихся сотрудниками полиции.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соответственно – сотрудник, учреждения и органы). Сотрудников, погибших (умерших) вследствие увечья или иного повреждения здоровья, полученных в связи с выполнением служебных обязанностей. Сотрудников, умерших вследствие заболевания, полученного в период прохождения службы в учреждениях и органах. Граждан Российской Федерации, уволенных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органах. </w:t>
            </w:r>
            <w:r>
              <w:rPr>
                <w:rFonts w:ascii="Times New Roman" w:hAnsi="Times New Roman"/>
                <w:sz w:val="28"/>
              </w:rPr>
              <w:t xml:space="preserve">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 Находящимися (находившимися) на иждивении сотрудника, гражданина Российской Федерации, указанных в пунктах 17.1.1.1.2.9 – 17.1.1.1.2.13 настоящего Регламента. Имеющих преимущественное право приема: И являющихся детьми, в том числе усыновленными (удочеренными) или находящимися под опекой или попечительством в семье, включая приемную семью, патронатную семью, в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этого ребенка в Организацию. В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</w:t>
            </w:r>
            <w:r>
              <w:rPr>
                <w:rFonts w:ascii="Times New Roman" w:hAnsi="Times New Roman"/>
                <w:sz w:val="28"/>
              </w:rPr>
              <w:t xml:space="preserve">государственной службе российского казачества, и являющихся детьми: Оставшимися без попечения родителей и детьми-сиротами. Военнослужащих, проходящих военную службу по контракту.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служба.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и общая продолжительность военной службы которых составляет 20 (двадцать) лет и более.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службы. Героев Советского Союза, Героев Российской Федерации и полных кавалеров ордена Славы. Сотрудников органов внутренних дел. Сотрудников Федеральной службы войск национальной гвардии Российской Федерации.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мероприятиями, и общая продолжительность службы, которых составляет 20 (Двадцать) лет и </w:t>
            </w:r>
            <w:r>
              <w:rPr>
                <w:rFonts w:ascii="Times New Roman" w:hAnsi="Times New Roman"/>
                <w:sz w:val="28"/>
              </w:rPr>
              <w:t>более.17.1.1.1.3.2.10.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Федерации. Находящимися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деятельностью.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деятельностью. Иными лицами в случаях, установленных федеральными законами, пользуются преимущественным правом приема в Организации,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Проживающих на территории, закрепленной за Организацией</w:t>
            </w:r>
          </w:p>
        </w:tc>
      </w:tr>
      <w:tr>
        <w:tc>
          <w:tcPr>
            <w:tcW w:type="dxa" w:w="72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E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304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F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 или поступающими, включая их уполномоченных представителей</w:t>
            </w:r>
          </w:p>
        </w:tc>
        <w:tc>
          <w:tcPr>
            <w:tcW w:type="dxa" w:w="119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0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Обратившиеся с запросом о приеме на обучение в первый класс (в период с 6 июля по 5 сентября текущего года): В отношении детей, не проживающих на закрепленной за Организацией территории</w:t>
            </w:r>
          </w:p>
        </w:tc>
      </w:tr>
      <w:tr>
        <w:tc>
          <w:tcPr>
            <w:tcW w:type="dxa" w:w="72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1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304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2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 или поступающими, включая их уполномоченных представителей</w:t>
            </w:r>
          </w:p>
        </w:tc>
        <w:tc>
          <w:tcPr>
            <w:tcW w:type="dxa" w:w="119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3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Обратившиеся с запросом о приеме поступающего в Организацию в порядке перевода</w:t>
            </w:r>
          </w:p>
        </w:tc>
      </w:tr>
    </w:tbl>
    <w:p w14:paraId="14000000">
      <w:pPr>
        <w:pStyle w:val="Style_1"/>
        <w:widowControl w:val="0"/>
        <w:spacing w:line="276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15000000">
      <w:pPr>
        <w:sectPr>
          <w:pgSz w:h="11908" w:orient="landscape" w:w="16848"/>
          <w:pgMar w:bottom="567" w:footer="0" w:gutter="0" w:header="0" w:left="567" w:right="567" w:top="567"/>
        </w:sectPr>
      </w:pPr>
    </w:p>
    <w:p w14:paraId="16000000">
      <w:pPr>
        <w:pStyle w:val="Style_1"/>
        <w:widowControl w:val="0"/>
        <w:spacing w:line="276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Комбинации признаков заявителей,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каждая из которых соответствует одному варианту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предоставления услуги</w:t>
      </w:r>
    </w:p>
    <w:tbl>
      <w:tblPr>
        <w:tblStyle w:val="Style_2"/>
        <w:tblW w:type="auto" w:w="0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704"/>
        <w:gridCol w:w="11437"/>
        <w:gridCol w:w="3573"/>
      </w:tblGrid>
      <w:tr>
        <w:tc>
          <w:tcPr>
            <w:tcW w:type="dxa" w:w="704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7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1437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8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 или поступающими, включая их уполномоченных представителей</w:t>
            </w:r>
            <w:r>
              <w:rPr>
                <w:rFonts w:ascii="Times New Roman" w:hAnsi="Times New Roman"/>
                <w:color w:val="000000"/>
                <w:sz w:val="28"/>
              </w:rPr>
              <w:t>:</w:t>
            </w:r>
          </w:p>
          <w:p w14:paraId="19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 Обратившиеся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запросом о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приеме на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обучение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первый класс детей (в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период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1 апреля по 30 июня текущего года):</w:t>
            </w:r>
          </w:p>
          <w:p w14:paraId="1A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17.1.1.1.1. Имеющих внеочередное право зачисления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Организацию</w:t>
            </w:r>
          </w:p>
          <w:p w14:paraId="1B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17.1.1.1.1.1. Имеющую интернат,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являющихся детьми:</w:t>
            </w:r>
          </w:p>
          <w:p w14:paraId="1C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17.1.1.1.1.1.1. Прокуроров.</w:t>
            </w:r>
          </w:p>
          <w:p w14:paraId="1D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17.1.1.1.1.1.2. Судей.</w:t>
            </w:r>
          </w:p>
          <w:p w14:paraId="1E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17.1.1.1.1.1.3. Сотрудников Следственного комитета Российской Федерации.</w:t>
            </w:r>
          </w:p>
          <w:p w14:paraId="1F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17.1.1.1.1.2. По месту жительства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являющихся детьми:</w:t>
            </w:r>
          </w:p>
          <w:p w14:paraId="20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17.1.1.1.1.2.1. Военнослужащих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детьми граждан, пребывавших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добровольческих формированиях, погибших (умерших) при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специальной военной операции либо позднее указанного периода, но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вследствие увечья (ранения, травмы, контузии)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заболевания, полученных при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ходе проведения специальной военной операции,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том числе усыновленными (удочеренными)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находящимися под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семье, включая приемную семью либо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случаях, предусмотренных законами субъектов Российской Федерации, патронатную семью.</w:t>
            </w:r>
          </w:p>
          <w:p w14:paraId="21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17.1.1.1.1.2.2. Детям сотрудника войск национальной гвардии, погибшего (умершего) при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специальной военной операции либо позднее указанного периода, но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вследствие увечья (ранения, травмы, контузии)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заболевания, полученных при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ходе проведения специальной военной операции,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том числе усыновленным (удочеренным)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находящимся под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семье, включая приемную семью либо </w:t>
            </w: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случаях, предусмотренных законами субъектов Российской Федерации, патронатную семью</w:t>
            </w:r>
          </w:p>
          <w:p w14:paraId="22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 Имеющих первоочередное право зачисления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Организацию по месту жительства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являющихся детьми:</w:t>
            </w:r>
          </w:p>
          <w:p w14:paraId="23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17.1.1.1.2.1. Военнослужащих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(или) детьми граждан, пребывающих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добровольческих формированиях,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том числе усыновленными (удочеренными)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находящимися под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семье, включая приемную семью либо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случаях, предусмотренных законами субъектов Российской Федерации, патронатную семью.</w:t>
            </w:r>
          </w:p>
          <w:p w14:paraId="24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17.1.1.1.2.2. Сотрудников полиции.</w:t>
            </w:r>
          </w:p>
          <w:p w14:paraId="25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17.1.1.1.2.3. Сотрудников полиции, погибших (умерших) вследствие увечья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выполнением служебных обязанностей.</w:t>
            </w:r>
          </w:p>
          <w:p w14:paraId="26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17.1.1.1.2.4. Сотрудников полиции, умерших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полиции.</w:t>
            </w:r>
          </w:p>
          <w:p w14:paraId="27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17.1.1.1.2.5. Граждан Российской Федерации, уволенных со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полиции вследствие увечья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выполнением служебных обязанностей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полиции.</w:t>
            </w:r>
          </w:p>
          <w:p w14:paraId="28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17.1.1.1.2.6. Граждан Российской Федерации, умерших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течение одного года после увольнения со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полиции вследствие увечья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выполнением служебных обязанностей, либо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полиции, 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полиции.</w:t>
            </w:r>
          </w:p>
          <w:p w14:paraId="29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17.1.1.1.2.7. Находящимися (находившимися) на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иждивении сотрудника полиции, гражданина Российской Федерации, указанных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пунктах 17.1.1.1.2.2 – 17.1.1.1.2.6 настоящего Регламента.</w:t>
            </w:r>
          </w:p>
          <w:p w14:paraId="2A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17.1.1.1.2.8. Сотрудников органов внутренних дел, не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являющихся сотрудниками полиции.</w:t>
            </w:r>
          </w:p>
          <w:p w14:paraId="2B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17.1.1.1.2.9. Сотрудников, имеющих специальные звания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проходящих службу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органах уголовно⁠-⁠исполнительной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таможенных органах Российской Федерации (далее соответственно – сотрудник, учреждения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органы).</w:t>
            </w:r>
          </w:p>
          <w:p w14:paraId="2C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17.1.1.1.2.10. Сотрудников, погибших (умерших) вследствие увечья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выполнением служебных обязанностей.</w:t>
            </w:r>
          </w:p>
          <w:p w14:paraId="2D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17.1.1.1.2.11. Сотрудников, умерших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органах.</w:t>
            </w:r>
          </w:p>
          <w:p w14:paraId="2E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17.1.1.1.2.12. Граждан Российской Федерации, уволенных со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органах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выполнением служебных обязанностей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органах</w:t>
            </w:r>
          </w:p>
          <w:p w14:paraId="2F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17.1.1.1.2.13. Граждан Российской Федерации, умерших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течение одного года после увольнения со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органах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выполнением служебных обязанностей, либо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органах, 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органах.</w:t>
            </w:r>
          </w:p>
          <w:p w14:paraId="30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17.1.1.1.2.14. Находящимися (находившимися) на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иждивении сотрудника, гражданина Российской Федерации, указанных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пунктах 17.1.1.1.2.9 – 17.1.1.1.2.13 настоящего Регламента.</w:t>
            </w:r>
          </w:p>
          <w:p w14:paraId="31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 Имеющих преимущественное право приема:</w:t>
            </w:r>
          </w:p>
          <w:p w14:paraId="32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17.1.1.1.3.1.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являющихся детьми,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том числе усыновленными (удочеренными)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находящимися под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семье, включая приемную семью, патронатную семью,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Организацию,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которой обучаются их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брат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(или) сестра (полнородные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неполнородные, усыновленные (удочеренные), дети, опекунами (попечителями) которых являются родители (законные представители) этих детей,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дети, родителями (законными представителями) которых являются опекуны (попечители) этого ребенка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Организацию.</w:t>
            </w:r>
          </w:p>
          <w:p w14:paraId="33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17.1.1.1.3.2.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Организации со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специальными наименованиями «кадетская школа», «кадетский (морской кадетский) корпус»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«казачий кадетский корпус», которые реализуют образовательные программы основного общего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среднего общего образования, интегрированные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дополнительными общеразвивающими программами, имеющими целью подготовку несовершеннолетних граждан к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военной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иной государственной службе,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том числе к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государственной службе российского казачества,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являющихся детьми:</w:t>
            </w:r>
          </w:p>
          <w:p w14:paraId="34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17.1.1.1.3.2.1. Оставшимися без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попечения родителей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детьми⁠-⁠сиротами.</w:t>
            </w:r>
          </w:p>
          <w:p w14:paraId="35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17.1.1.1.3.2.2. Военнослужащих, проходящих военную службу по контракту.</w:t>
            </w:r>
          </w:p>
          <w:p w14:paraId="36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17.1.1.1.3.2.3. Государственных гражданских служащих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гражданского персонала федеральных органов исполнительной власти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федеральных государственных органов,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которых федеральным законом предусмотрена военная служба.</w:t>
            </w:r>
          </w:p>
          <w:p w14:paraId="37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17.1.1.1.3.2.4. Граждан, которые уволены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военной службы по достижении ими предельного возраста пребывания на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военной службе, по состоянию здоровья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организационно⁠-⁠штатными мероприятиями,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общая продолжительность военной службы которых составляет 20 (двадцать) лет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более.</w:t>
            </w:r>
          </w:p>
          <w:p w14:paraId="38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17.1.1.1.3.2.5. Военнослужащих, погибших при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исполнении ими обязанностей военной службы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умерших вследствие увечья (ранения, травмы, контузии)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заболевания, полученных ими при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исполнении обязанностей военной службы.</w:t>
            </w:r>
          </w:p>
          <w:p w14:paraId="39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17.1.1.1.3.2.6. Героев Советского Союза, Героев Российской Федерации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полных кавалеров ордена Славы.</w:t>
            </w:r>
          </w:p>
          <w:p w14:paraId="3A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17.1.1.1.3.2.7. Сотрудников органов внутренних дел.</w:t>
            </w:r>
          </w:p>
          <w:p w14:paraId="3B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17.1.1.1.3.2.8. Сотрудников Федеральной службы войск </w:t>
            </w:r>
            <w:r>
              <w:rPr>
                <w:rFonts w:ascii="Times New Roman" w:hAnsi="Times New Roman"/>
                <w:color w:val="000000"/>
                <w:sz w:val="28"/>
              </w:rPr>
              <w:t>национальной гвардии Российской Федерации.</w:t>
            </w:r>
          </w:p>
          <w:p w14:paraId="3C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17.1.1.1.3.2.9. Граждан, которые уволены со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органах внутренних дел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войсках национальной гвардии Российской Федерации по достижении ими предельного возраста пребывания на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службе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органах внутренних дел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войсках национальной гвардии Российской Федерации, по состоянию здоровья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организационно⁠-⁠штатными мероприятиями,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общая продолжительность службы, которых составляет 20 (Двадцать) лет 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более.</w:t>
            </w:r>
          </w:p>
          <w:p w14:paraId="3D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17.1.1.1.3.2.10. Сотрудников органов внутренних дел, дети сотрудников Федеральной службы войск национальной гвардии Российской Федерации, погибших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умерших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исполнением служебных обязанностей, либо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органах внутренних дел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войсках национальной гвардии Российской Федерации.</w:t>
            </w:r>
          </w:p>
          <w:p w14:paraId="3E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17.1.1.1.3.2.11. Находящимися на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иждивении указанных лиц, дети прокурорских работников, погибших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умерших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иного повреждения здоровья, полученных ими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период 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органах прокуратуры либо после увольнения вследствие </w:t>
            </w:r>
            <w:r>
              <w:rPr>
                <w:rFonts w:ascii="Times New Roman" w:hAnsi="Times New Roman"/>
                <w:color w:val="000000"/>
                <w:sz w:val="28"/>
              </w:rPr>
              <w:t>причинения вреда здоровью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их служебной деятельностью.</w:t>
            </w:r>
          </w:p>
          <w:p w14:paraId="3F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17.1.1.1.3.2.12. Сотрудников Следственного комитета Российской Федерации, погибших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умерших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иного повреждения здоровья, полученных ими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период службы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Следственном комитете Российской Федерации либо после увольнения вследствие причинения вреда здоровью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их служебной деятельностью.</w:t>
            </w:r>
          </w:p>
          <w:p w14:paraId="40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17.1.1.1.3.2.13. Иными лицами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случаях, установленных федеральными законами, пользуются преимущественным правом приема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Организации, интегрированные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дополнительными общеразвивающими программами, имеющими целью подготовку несовершеннолетних граждан к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военной или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иной государственной службе,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том числе к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государственной службе российского казачества</w:t>
            </w:r>
          </w:p>
          <w:p w14:paraId="41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17.1.1.1.4. Проживающих на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территории, закрепленной за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Организацией</w:t>
            </w:r>
          </w:p>
        </w:tc>
        <w:tc>
          <w:tcPr>
            <w:tcW w:type="dxa" w:w="35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2000000">
            <w:pPr>
              <w:pStyle w:val="Style_1"/>
              <w:widowControl w:val="0"/>
              <w:spacing w:line="276" w:lineRule="auto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вариант предоставления услуги, указанный в </w:t>
            </w:r>
            <w:r>
              <w:rPr>
                <w:rFonts w:ascii="Times New Roman" w:hAnsi="Times New Roman"/>
                <w:sz w:val="28"/>
              </w:rPr>
              <w:t>подпункте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 xml:space="preserve">17.1.1 </w:t>
            </w:r>
            <w:r>
              <w:rPr>
                <w:rFonts w:ascii="Times New Roman" w:hAnsi="Times New Roman"/>
                <w:sz w:val="28"/>
              </w:rPr>
              <w:t>пункта 17.1 Регламента</w:t>
            </w:r>
          </w:p>
        </w:tc>
      </w:tr>
      <w:tr>
        <w:tc>
          <w:tcPr>
            <w:tcW w:type="dxa" w:w="704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3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11437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4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CC33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 или поступающими, включая их уполномоченных представителей</w:t>
            </w:r>
            <w:r>
              <w:rPr>
                <w:rFonts w:ascii="Times New Roman" w:hAnsi="Times New Roman"/>
                <w:color w:val="000000"/>
                <w:sz w:val="28"/>
              </w:rPr>
              <w:t>:</w:t>
            </w:r>
          </w:p>
          <w:p w14:paraId="45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17.1.2.1 Обратившиеся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запросом о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приеме на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обучение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первый класс (в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период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6 июля по 5 сентября текущего года):</w:t>
            </w:r>
          </w:p>
          <w:p w14:paraId="46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17.1.2.1.1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отношении детей, не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проживающих на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закрепленной за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Организацией территории</w:t>
            </w:r>
          </w:p>
        </w:tc>
        <w:tc>
          <w:tcPr>
            <w:tcW w:type="dxa" w:w="35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7000000">
            <w:pPr>
              <w:pStyle w:val="Style_1"/>
              <w:widowControl w:val="0"/>
              <w:spacing w:line="276" w:lineRule="auto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вариант предоставления услуги, указанный в </w:t>
            </w:r>
            <w:r>
              <w:rPr>
                <w:rFonts w:ascii="Times New Roman" w:hAnsi="Times New Roman"/>
                <w:sz w:val="28"/>
              </w:rPr>
              <w:t>подпункте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 xml:space="preserve">17.1.2 </w:t>
            </w:r>
            <w:r>
              <w:rPr>
                <w:rFonts w:ascii="Times New Roman" w:hAnsi="Times New Roman"/>
                <w:sz w:val="28"/>
              </w:rPr>
              <w:t>пункта 17.1 Регламента</w:t>
            </w:r>
          </w:p>
        </w:tc>
      </w:tr>
      <w:tr>
        <w:tc>
          <w:tcPr>
            <w:tcW w:type="dxa" w:w="704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8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11437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9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CC33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 или поступающими, включая их уполномоченных представителей</w:t>
            </w:r>
            <w:r>
              <w:rPr>
                <w:rFonts w:ascii="Times New Roman" w:hAnsi="Times New Roman"/>
                <w:color w:val="000000"/>
                <w:sz w:val="28"/>
              </w:rPr>
              <w:t>:</w:t>
            </w:r>
          </w:p>
          <w:p w14:paraId="4A000000">
            <w:pPr>
              <w:pStyle w:val="Style_4"/>
              <w:widowControl w:val="1"/>
              <w:tabs>
                <w:tab w:leader="none" w:pos="645" w:val="left"/>
              </w:tabs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17.1.3.1. Обратившиеся с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запросом о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приеме поступающего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Организацию в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</w:rPr>
              <w:t>порядке перевода</w:t>
            </w:r>
          </w:p>
        </w:tc>
        <w:tc>
          <w:tcPr>
            <w:tcW w:type="dxa" w:w="35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B000000">
            <w:pPr>
              <w:pStyle w:val="Style_1"/>
              <w:widowControl w:val="0"/>
              <w:spacing w:line="276" w:lineRule="auto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вариант предоставления услуги, указанный в </w:t>
            </w:r>
            <w:r>
              <w:rPr>
                <w:rFonts w:ascii="Times New Roman" w:hAnsi="Times New Roman"/>
                <w:sz w:val="28"/>
              </w:rPr>
              <w:t>подпункте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 xml:space="preserve">17.1.3 </w:t>
            </w:r>
            <w:r>
              <w:rPr>
                <w:rFonts w:ascii="Times New Roman" w:hAnsi="Times New Roman"/>
                <w:sz w:val="28"/>
              </w:rPr>
              <w:t>пункта 17.1 Регламента</w:t>
            </w:r>
          </w:p>
        </w:tc>
      </w:tr>
    </w:tbl>
    <w:p w14:paraId="4C000000">
      <w:pPr>
        <w:rPr>
          <w:sz w:val="4"/>
        </w:rPr>
      </w:pPr>
    </w:p>
    <w:sectPr>
      <w:type w:val="continuous"/>
      <w:pgSz w:h="11908" w:orient="landscape" w:w="16848"/>
      <w:pgMar w:bottom="567" w:footer="0" w:gutter="0" w:header="0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4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5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1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58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31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60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decimal"/>
      <w:pStyle w:val="Style_23"/>
      <w:suff w:val="tab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suff w:val="tab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suff w:val="tab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suff w:val="tab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suff w:val="tab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suff w:val="tab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suff w:val="tab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suff w:val="tab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abstractNum w:abstractNumId="2">
    <w:lvl w:ilvl="0">
      <w:start w:val="1"/>
      <w:numFmt w:val="bullet"/>
      <w:pStyle w:val="Style_37"/>
      <w:suff w:val="tab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suff w:val="tab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StarSymbol" w:hAnsi="StarSymbol"/>
      </w:rPr>
    </w:lvl>
    <w:lvl w:ilvl="2">
      <w:start w:val="1"/>
      <w:numFmt w:val="bullet"/>
      <w:suff w:val="tab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tarSymbol" w:hAnsi="StarSymbol"/>
      </w:rPr>
    </w:lvl>
    <w:lvl w:ilvl="3">
      <w:start w:val="1"/>
      <w:numFmt w:val="bullet"/>
      <w:suff w:val="tab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decimal"/>
      <w:suff w:val="tab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suff w:val="tab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suff w:val="tab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suff w:val="tab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4" w:type="paragraph">
    <w:name w:val="Body Text"/>
    <w:basedOn w:val="Style_5"/>
    <w:link w:val="Style_4_ch"/>
    <w:pPr>
      <w:widowControl w:val="1"/>
      <w:spacing w:after="140" w:line="276" w:lineRule="auto"/>
      <w:ind/>
    </w:pPr>
  </w:style>
  <w:style w:styleId="Style_4_ch" w:type="character">
    <w:name w:val="Body Text"/>
    <w:basedOn w:val="Style_5_ch"/>
    <w:link w:val="Style_4"/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2"/>
    <w:next w:val="Style_5"/>
    <w:link w:val="Style_11_ch"/>
    <w:uiPriority w:val="9"/>
    <w:qFormat/>
    <w:pPr>
      <w:widowControl w:val="1"/>
      <w:numPr>
        <w:ilvl w:val="2"/>
        <w:numId w:val="1"/>
      </w:numPr>
      <w:spacing w:before="140"/>
      <w:ind/>
      <w:outlineLvl w:val="2"/>
    </w:pPr>
    <w:rPr>
      <w:b w:val="1"/>
      <w:color w:val="808080"/>
    </w:rPr>
  </w:style>
  <w:style w:styleId="Style_11_ch" w:type="character">
    <w:name w:val="heading 3"/>
    <w:basedOn w:val="Style_12_ch"/>
    <w:link w:val="Style_11"/>
    <w:rPr>
      <w:b w:val="1"/>
      <w:color w:val="808080"/>
    </w:rPr>
  </w:style>
  <w:style w:styleId="Style_13" w:type="paragraph">
    <w:name w:val="List"/>
    <w:basedOn w:val="Style_4"/>
    <w:link w:val="Style_13_ch"/>
  </w:style>
  <w:style w:styleId="Style_13_ch" w:type="character">
    <w:name w:val="List"/>
    <w:basedOn w:val="Style_4_ch"/>
    <w:link w:val="Style_13"/>
  </w:style>
  <w:style w:styleId="Style_14" w:type="paragraph">
    <w:name w:val="WW_CharLFO2LVL6"/>
    <w:link w:val="Style_14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14_ch" w:type="character">
    <w:name w:val="WW_CharLFO2LVL6"/>
    <w:link w:val="Style_14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3" w:type="paragraph">
    <w:name w:val="Table Contents"/>
    <w:basedOn w:val="Style_5"/>
    <w:link w:val="Style_3_ch"/>
  </w:style>
  <w:style w:styleId="Style_3_ch" w:type="character">
    <w:name w:val="Table Contents"/>
    <w:basedOn w:val="Style_5_ch"/>
    <w:link w:val="Style_3"/>
  </w:style>
  <w:style w:styleId="Style_15" w:type="paragraph">
    <w:name w:val="POD Bullet Symbols"/>
    <w:link w:val="Style_15_ch"/>
    <w:rPr>
      <w:rFonts w:ascii="StarSymbol" w:hAnsi="StarSymbol"/>
      <w:sz w:val="18"/>
    </w:rPr>
  </w:style>
  <w:style w:styleId="Style_15_ch" w:type="character">
    <w:name w:val="POD Bullet Symbols"/>
    <w:link w:val="Style_15"/>
    <w:rPr>
      <w:rFonts w:ascii="StarSymbol" w:hAnsi="StarSymbol"/>
      <w:sz w:val="18"/>
    </w:rPr>
  </w:style>
  <w:style w:styleId="Style_16" w:type="paragraph">
    <w:name w:val="caption"/>
    <w:basedOn w:val="Style_5"/>
    <w:link w:val="Style_16_ch"/>
    <w:pPr>
      <w:widowControl w:val="1"/>
      <w:spacing w:after="120" w:before="120"/>
      <w:ind/>
    </w:pPr>
    <w:rPr>
      <w:i w:val="1"/>
    </w:rPr>
  </w:style>
  <w:style w:styleId="Style_16_ch" w:type="character">
    <w:name w:val="caption"/>
    <w:basedOn w:val="Style_5_ch"/>
    <w:link w:val="Style_16"/>
    <w:rPr>
      <w:i w:val="1"/>
    </w:rPr>
  </w:style>
  <w:style w:styleId="Style_17" w:type="paragraph">
    <w:name w:val="podTablePara"/>
    <w:basedOn w:val="Style_18"/>
    <w:link w:val="Style_17_ch"/>
    <w:rPr>
      <w:sz w:val="16"/>
    </w:rPr>
  </w:style>
  <w:style w:styleId="Style_17_ch" w:type="character">
    <w:name w:val="podTablePara"/>
    <w:basedOn w:val="Style_18_ch"/>
    <w:link w:val="Style_17"/>
    <w:rPr>
      <w:sz w:val="16"/>
    </w:rPr>
  </w:style>
  <w:style w:styleId="Style_19" w:type="paragraph">
    <w:name w:val="обычный приложения"/>
    <w:basedOn w:val="Style_5"/>
    <w:link w:val="Style_19_ch"/>
    <w:pPr>
      <w:widowControl w:val="1"/>
      <w:ind/>
      <w:jc w:val="center"/>
    </w:pPr>
    <w:rPr>
      <w:rFonts w:ascii="Times New Roman" w:hAnsi="Times New Roman"/>
      <w:b w:val="1"/>
    </w:rPr>
  </w:style>
  <w:style w:styleId="Style_19_ch" w:type="character">
    <w:name w:val="обычный приложения"/>
    <w:basedOn w:val="Style_5_ch"/>
    <w:link w:val="Style_19"/>
    <w:rPr>
      <w:rFonts w:ascii="Times New Roman" w:hAnsi="Times New Roman"/>
      <w:b w:val="1"/>
    </w:rPr>
  </w:style>
  <w:style w:styleId="Style_20" w:type="paragraph">
    <w:name w:val="podTableParaBoldRight"/>
    <w:basedOn w:val="Style_18"/>
    <w:link w:val="Style_20_ch"/>
    <w:pPr>
      <w:widowControl w:val="1"/>
      <w:ind/>
      <w:jc w:val="right"/>
    </w:pPr>
    <w:rPr>
      <w:b w:val="1"/>
      <w:sz w:val="16"/>
    </w:rPr>
  </w:style>
  <w:style w:styleId="Style_20_ch" w:type="character">
    <w:name w:val="podTableParaBoldRight"/>
    <w:basedOn w:val="Style_18_ch"/>
    <w:link w:val="Style_20"/>
    <w:rPr>
      <w:b w:val="1"/>
      <w:sz w:val="16"/>
    </w:rPr>
  </w:style>
  <w:style w:styleId="Style_21" w:type="paragraph">
    <w:name w:val="Table heading"/>
    <w:basedOn w:val="Style_18"/>
    <w:link w:val="Style_21_ch"/>
    <w:rPr>
      <w:b w:val="1"/>
    </w:rPr>
  </w:style>
  <w:style w:styleId="Style_21_ch" w:type="character">
    <w:name w:val="Table heading"/>
    <w:basedOn w:val="Style_18_ch"/>
    <w:link w:val="Style_21"/>
    <w:rPr>
      <w:b w:val="1"/>
    </w:rPr>
  </w:style>
  <w:style w:styleId="Style_22" w:type="paragraph">
    <w:name w:val="WW_CharLFO2LVL1"/>
    <w:link w:val="Style_22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22_ch" w:type="character">
    <w:name w:val="WW_CharLFO2LVL1"/>
    <w:link w:val="Style_22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23" w:type="paragraph">
    <w:name w:val="podNumberItem"/>
    <w:basedOn w:val="Style_5"/>
    <w:link w:val="Style_23_ch"/>
    <w:pPr>
      <w:numPr>
        <w:numId w:val="2"/>
      </w:numPr>
    </w:pPr>
  </w:style>
  <w:style w:styleId="Style_23_ch" w:type="character">
    <w:name w:val="podNumberItem"/>
    <w:basedOn w:val="Style_5_ch"/>
    <w:link w:val="Style_23"/>
  </w:style>
  <w:style w:styleId="Style_24" w:type="paragraph">
    <w:name w:val="Index"/>
    <w:basedOn w:val="Style_5"/>
    <w:link w:val="Style_24_ch"/>
  </w:style>
  <w:style w:styleId="Style_24_ch" w:type="character">
    <w:name w:val="Index"/>
    <w:basedOn w:val="Style_5_ch"/>
    <w:link w:val="Style_24"/>
  </w:style>
  <w:style w:styleId="Style_25" w:type="paragraph">
    <w:name w:val="toc 3"/>
    <w:next w:val="Style_5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ParaKWN"/>
    <w:basedOn w:val="Style_5"/>
    <w:link w:val="Style_26_ch"/>
    <w:pPr>
      <w:keepNext w:val="1"/>
      <w:widowControl w:val="1"/>
      <w:ind/>
    </w:pPr>
  </w:style>
  <w:style w:styleId="Style_26_ch" w:type="character">
    <w:name w:val="ParaKWN"/>
    <w:basedOn w:val="Style_5_ch"/>
    <w:link w:val="Style_26"/>
  </w:style>
  <w:style w:styleId="Style_27" w:type="paragraph">
    <w:name w:val="podNumberItemKeepWithNext"/>
    <w:basedOn w:val="Style_5"/>
    <w:link w:val="Style_27_ch"/>
    <w:pPr>
      <w:keepNext w:val="1"/>
      <w:widowControl w:val="1"/>
      <w:tabs>
        <w:tab w:leader="none" w:pos="720" w:val="left"/>
      </w:tabs>
      <w:ind w:hanging="360" w:left="720"/>
    </w:pPr>
  </w:style>
  <w:style w:styleId="Style_27_ch" w:type="character">
    <w:name w:val="podNumberItemKeepWithNext"/>
    <w:basedOn w:val="Style_5_ch"/>
    <w:link w:val="Style_27"/>
  </w:style>
  <w:style w:styleId="Style_28" w:type="paragraph">
    <w:name w:val="POD Numbering Symbols"/>
    <w:link w:val="Style_28_ch"/>
  </w:style>
  <w:style w:styleId="Style_28_ch" w:type="character">
    <w:name w:val="POD Numbering Symbols"/>
    <w:link w:val="Style_28"/>
  </w:style>
  <w:style w:styleId="Style_12" w:type="paragraph">
    <w:name w:val="Heading"/>
    <w:basedOn w:val="Style_5"/>
    <w:next w:val="Style_4"/>
    <w:link w:val="Style_1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2_ch" w:type="character">
    <w:name w:val="Heading"/>
    <w:basedOn w:val="Style_5_ch"/>
    <w:link w:val="Style_12"/>
    <w:rPr>
      <w:rFonts w:ascii="Liberation Sans" w:hAnsi="Liberation Sans"/>
      <w:sz w:val="28"/>
    </w:rPr>
  </w:style>
  <w:style w:styleId="Style_29" w:type="paragraph">
    <w:name w:val="WW_CharLFO2LVL9"/>
    <w:link w:val="Style_29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29_ch" w:type="character">
    <w:name w:val="WW_CharLFO2LVL9"/>
    <w:link w:val="Style_29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30" w:type="paragraph">
    <w:name w:val="Table Heading"/>
    <w:basedOn w:val="Style_3"/>
    <w:link w:val="Style_30_ch"/>
    <w:pPr>
      <w:widowControl w:val="1"/>
      <w:ind/>
      <w:jc w:val="center"/>
    </w:pPr>
    <w:rPr>
      <w:b w:val="1"/>
    </w:rPr>
  </w:style>
  <w:style w:styleId="Style_30_ch" w:type="character">
    <w:name w:val="Table Heading"/>
    <w:basedOn w:val="Style_3_ch"/>
    <w:link w:val="Style_30"/>
    <w:rPr>
      <w:b w:val="1"/>
    </w:rPr>
  </w:style>
  <w:style w:styleId="Style_31" w:type="paragraph">
    <w:name w:val="heading 5"/>
    <w:basedOn w:val="Style_12"/>
    <w:next w:val="Style_5"/>
    <w:link w:val="Style_31_ch"/>
    <w:uiPriority w:val="9"/>
    <w:qFormat/>
    <w:pPr>
      <w:widowControl w:val="1"/>
      <w:numPr>
        <w:ilvl w:val="4"/>
        <w:numId w:val="1"/>
      </w:numPr>
      <w:spacing w:after="60" w:before="120"/>
      <w:ind/>
      <w:outlineLvl w:val="4"/>
    </w:pPr>
    <w:rPr>
      <w:b w:val="1"/>
      <w:sz w:val="24"/>
    </w:rPr>
  </w:style>
  <w:style w:styleId="Style_31_ch" w:type="character">
    <w:name w:val="heading 5"/>
    <w:basedOn w:val="Style_12_ch"/>
    <w:link w:val="Style_31"/>
    <w:rPr>
      <w:b w:val="1"/>
      <w:sz w:val="24"/>
    </w:rPr>
  </w:style>
  <w:style w:styleId="Style_32" w:type="paragraph">
    <w:name w:val="обычный приложения Знак"/>
    <w:basedOn w:val="Style_33"/>
    <w:link w:val="Style_32_ch"/>
    <w:rPr>
      <w:rFonts w:ascii="Times New Roman" w:hAnsi="Times New Roman"/>
      <w:b w:val="1"/>
      <w:sz w:val="24"/>
    </w:rPr>
  </w:style>
  <w:style w:styleId="Style_32_ch" w:type="character">
    <w:name w:val="обычный приложения Знак"/>
    <w:basedOn w:val="Style_33_ch"/>
    <w:link w:val="Style_32"/>
    <w:rPr>
      <w:rFonts w:ascii="Times New Roman" w:hAnsi="Times New Roman"/>
      <w:b w:val="1"/>
      <w:sz w:val="24"/>
    </w:rPr>
  </w:style>
  <w:style w:styleId="Style_34" w:type="paragraph">
    <w:name w:val="heading 1"/>
    <w:basedOn w:val="Style_12"/>
    <w:next w:val="Style_5"/>
    <w:link w:val="Style_34_ch"/>
    <w:uiPriority w:val="9"/>
    <w:qFormat/>
    <w:pPr>
      <w:widowControl w:val="1"/>
      <w:numPr>
        <w:numId w:val="1"/>
      </w:numPr>
      <w:ind/>
      <w:outlineLvl w:val="0"/>
    </w:pPr>
    <w:rPr>
      <w:b w:val="1"/>
      <w:sz w:val="36"/>
    </w:rPr>
  </w:style>
  <w:style w:styleId="Style_34_ch" w:type="character">
    <w:name w:val="heading 1"/>
    <w:basedOn w:val="Style_12_ch"/>
    <w:link w:val="Style_34"/>
    <w:rPr>
      <w:b w:val="1"/>
      <w:sz w:val="36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1" w:type="paragraph">
    <w:name w:val="Footnote"/>
    <w:basedOn w:val="Style_5"/>
    <w:link w:val="Style_1_ch"/>
    <w:pPr>
      <w:widowControl w:val="1"/>
      <w:ind w:hanging="340" w:left="340"/>
    </w:pPr>
    <w:rPr>
      <w:sz w:val="20"/>
    </w:rPr>
  </w:style>
  <w:style w:styleId="Style_1_ch" w:type="character">
    <w:name w:val="Footnote"/>
    <w:basedOn w:val="Style_5_ch"/>
    <w:link w:val="Style_1"/>
    <w:rPr>
      <w:sz w:val="20"/>
    </w:rPr>
  </w:style>
  <w:style w:styleId="Style_18" w:type="paragraph">
    <w:name w:val="Table cell"/>
    <w:basedOn w:val="Style_5"/>
    <w:link w:val="Style_18_ch"/>
  </w:style>
  <w:style w:styleId="Style_18_ch" w:type="character">
    <w:name w:val="Table cell"/>
    <w:basedOn w:val="Style_5_ch"/>
    <w:link w:val="Style_18"/>
  </w:style>
  <w:style w:styleId="Style_36" w:type="paragraph">
    <w:name w:val="toc 1"/>
    <w:next w:val="Style_5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podBulletItem"/>
    <w:basedOn w:val="Style_5"/>
    <w:link w:val="Style_37_ch"/>
    <w:pPr>
      <w:numPr>
        <w:numId w:val="3"/>
      </w:numPr>
    </w:pPr>
  </w:style>
  <w:style w:styleId="Style_37_ch" w:type="character">
    <w:name w:val="podBulletItem"/>
    <w:basedOn w:val="Style_5_ch"/>
    <w:link w:val="Style_37"/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WW_CharLFO2LVL4"/>
    <w:link w:val="Style_39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39_ch" w:type="character">
    <w:name w:val="WW_CharLFO2LVL4"/>
    <w:link w:val="Style_39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40" w:type="paragraph">
    <w:name w:val="toc 9"/>
    <w:next w:val="Style_5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podPageBreakBefore"/>
    <w:link w:val="Style_41_ch"/>
    <w:pPr>
      <w:pageBreakBefore w:val="1"/>
      <w:widowControl w:val="1"/>
      <w:ind/>
    </w:pPr>
    <w:rPr>
      <w:sz w:val="4"/>
    </w:rPr>
  </w:style>
  <w:style w:styleId="Style_41_ch" w:type="character">
    <w:name w:val="podPageBreakBefore"/>
    <w:link w:val="Style_41"/>
    <w:rPr>
      <w:sz w:val="4"/>
    </w:rPr>
  </w:style>
  <w:style w:styleId="Style_42" w:type="paragraph">
    <w:name w:val="WW_CharLFO2LVL8"/>
    <w:link w:val="Style_42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42_ch" w:type="character">
    <w:name w:val="WW_CharLFO2LVL8"/>
    <w:link w:val="Style_42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43" w:type="paragraph">
    <w:name w:val="podBulletItemKeepWithNext"/>
    <w:basedOn w:val="Style_5"/>
    <w:link w:val="Style_43_ch"/>
    <w:pPr>
      <w:keepNext w:val="1"/>
      <w:widowControl w:val="1"/>
      <w:tabs>
        <w:tab w:leader="none" w:pos="720" w:val="left"/>
      </w:tabs>
      <w:ind w:hanging="360" w:left="720"/>
    </w:pPr>
  </w:style>
  <w:style w:styleId="Style_43_ch" w:type="character">
    <w:name w:val="podBulletItemKeepWithNext"/>
    <w:basedOn w:val="Style_5_ch"/>
    <w:link w:val="Style_43"/>
  </w:style>
  <w:style w:styleId="Style_44" w:type="paragraph">
    <w:name w:val="podTableParaRight"/>
    <w:basedOn w:val="Style_18"/>
    <w:link w:val="Style_44_ch"/>
    <w:pPr>
      <w:widowControl w:val="1"/>
      <w:ind/>
      <w:jc w:val="right"/>
    </w:pPr>
    <w:rPr>
      <w:sz w:val="16"/>
    </w:rPr>
  </w:style>
  <w:style w:styleId="Style_44_ch" w:type="character">
    <w:name w:val="podTableParaRight"/>
    <w:basedOn w:val="Style_18_ch"/>
    <w:link w:val="Style_44"/>
    <w:rPr>
      <w:sz w:val="16"/>
    </w:rPr>
  </w:style>
  <w:style w:styleId="Style_45" w:type="paragraph">
    <w:name w:val="WW_CharLFO2LVL7"/>
    <w:link w:val="Style_45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45_ch" w:type="character">
    <w:name w:val="WW_CharLFO2LVL7"/>
    <w:link w:val="Style_45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46" w:type="paragraph">
    <w:name w:val="toc 8"/>
    <w:next w:val="Style_5"/>
    <w:link w:val="Style_4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podTableParaBold"/>
    <w:basedOn w:val="Style_18"/>
    <w:link w:val="Style_47_ch"/>
    <w:rPr>
      <w:b w:val="1"/>
      <w:sz w:val="16"/>
    </w:rPr>
  </w:style>
  <w:style w:styleId="Style_47_ch" w:type="character">
    <w:name w:val="podTableParaBold"/>
    <w:basedOn w:val="Style_18_ch"/>
    <w:link w:val="Style_47"/>
    <w:rPr>
      <w:b w:val="1"/>
      <w:sz w:val="16"/>
    </w:rPr>
  </w:style>
  <w:style w:styleId="Style_48" w:type="paragraph">
    <w:name w:val="podPageBreakAfter"/>
    <w:link w:val="Style_48_ch"/>
    <w:rPr>
      <w:sz w:val="4"/>
    </w:rPr>
  </w:style>
  <w:style w:styleId="Style_48_ch" w:type="character">
    <w:name w:val="podPageBreakAfter"/>
    <w:link w:val="Style_48"/>
    <w:rPr>
      <w:sz w:val="4"/>
    </w:rPr>
  </w:style>
  <w:style w:styleId="Style_49" w:type="paragraph">
    <w:name w:val="toc 5"/>
    <w:next w:val="Style_5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podColumnBreak"/>
    <w:link w:val="Style_50_ch"/>
  </w:style>
  <w:style w:styleId="Style_50_ch" w:type="character">
    <w:name w:val="podColumnBreak"/>
    <w:link w:val="Style_50"/>
  </w:style>
  <w:style w:styleId="Style_51" w:type="paragraph">
    <w:name w:val="АР Прил 2"/>
    <w:basedOn w:val="Style_19"/>
    <w:link w:val="Style_51_ch"/>
  </w:style>
  <w:style w:styleId="Style_51_ch" w:type="character">
    <w:name w:val="АР Прил 2"/>
    <w:basedOn w:val="Style_19_ch"/>
    <w:link w:val="Style_51"/>
  </w:style>
  <w:style w:styleId="Style_52" w:type="paragraph">
    <w:name w:val="WW_CharLFO2LVL5"/>
    <w:link w:val="Style_52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52_ch" w:type="character">
    <w:name w:val="WW_CharLFO2LVL5"/>
    <w:link w:val="Style_52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53" w:type="paragraph">
    <w:name w:val="Subtitle"/>
    <w:next w:val="Style_5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Рег. Заголовок 2-го уровня регламента"/>
    <w:basedOn w:val="Style_5"/>
    <w:link w:val="Style_54_ch"/>
    <w:pPr>
      <w:widowControl w:val="1"/>
      <w:ind/>
      <w:jc w:val="center"/>
      <w:outlineLvl w:val="1"/>
    </w:pPr>
    <w:rPr>
      <w:rFonts w:ascii="Times New Roman" w:hAnsi="Times New Roman"/>
      <w:b w:val="1"/>
    </w:rPr>
  </w:style>
  <w:style w:styleId="Style_54_ch" w:type="character">
    <w:name w:val="Рег. Заголовок 2-го уровня регламента"/>
    <w:basedOn w:val="Style_5_ch"/>
    <w:link w:val="Style_54"/>
    <w:rPr>
      <w:rFonts w:ascii="Times New Roman" w:hAnsi="Times New Roman"/>
      <w:b w:val="1"/>
    </w:rPr>
  </w:style>
  <w:style w:styleId="Style_55" w:type="paragraph">
    <w:name w:val="WW_CharLFO2LVL2"/>
    <w:link w:val="Style_55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55_ch" w:type="character">
    <w:name w:val="WW_CharLFO2LVL2"/>
    <w:link w:val="Style_55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56" w:type="paragraph">
    <w:name w:val="WW_CharLFO2LVL3"/>
    <w:link w:val="Style_56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56_ch" w:type="character">
    <w:name w:val="WW_CharLFO2LVL3"/>
    <w:link w:val="Style_56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57" w:type="paragraph">
    <w:name w:val="Title"/>
    <w:next w:val="Style_5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basedOn w:val="Style_12"/>
    <w:next w:val="Style_5"/>
    <w:link w:val="Style_58_ch"/>
    <w:uiPriority w:val="9"/>
    <w:qFormat/>
    <w:pPr>
      <w:widowControl w:val="1"/>
      <w:numPr>
        <w:ilvl w:val="3"/>
        <w:numId w:val="1"/>
      </w:numPr>
      <w:spacing w:before="120"/>
      <w:ind/>
      <w:outlineLvl w:val="3"/>
    </w:pPr>
    <w:rPr>
      <w:b w:val="1"/>
      <w:i w:val="1"/>
      <w:color w:val="808080"/>
      <w:sz w:val="27"/>
    </w:rPr>
  </w:style>
  <w:style w:styleId="Style_58_ch" w:type="character">
    <w:name w:val="heading 4"/>
    <w:basedOn w:val="Style_12_ch"/>
    <w:link w:val="Style_58"/>
    <w:rPr>
      <w:b w:val="1"/>
      <w:i w:val="1"/>
      <w:color w:val="808080"/>
      <w:sz w:val="27"/>
    </w:rPr>
  </w:style>
  <w:style w:styleId="Style_59" w:type="paragraph">
    <w:name w:val="heading 2"/>
    <w:basedOn w:val="Style_12"/>
    <w:next w:val="Style_5"/>
    <w:link w:val="Style_59_ch"/>
    <w:uiPriority w:val="9"/>
    <w:qFormat/>
    <w:pPr>
      <w:widowControl w:val="1"/>
      <w:numPr>
        <w:ilvl w:val="1"/>
        <w:numId w:val="1"/>
      </w:numPr>
      <w:spacing w:before="200"/>
      <w:ind/>
      <w:outlineLvl w:val="1"/>
    </w:pPr>
    <w:rPr>
      <w:b w:val="1"/>
      <w:sz w:val="32"/>
    </w:rPr>
  </w:style>
  <w:style w:styleId="Style_59_ch" w:type="character">
    <w:name w:val="heading 2"/>
    <w:basedOn w:val="Style_12_ch"/>
    <w:link w:val="Style_59"/>
    <w:rPr>
      <w:b w:val="1"/>
      <w:sz w:val="32"/>
    </w:rPr>
  </w:style>
  <w:style w:styleId="Style_60" w:type="paragraph">
    <w:name w:val="heading 6"/>
    <w:basedOn w:val="Style_12"/>
    <w:next w:val="Style_5"/>
    <w:link w:val="Style_60_ch"/>
    <w:uiPriority w:val="9"/>
    <w:qFormat/>
    <w:pPr>
      <w:widowControl w:val="1"/>
      <w:numPr>
        <w:ilvl w:val="5"/>
        <w:numId w:val="1"/>
      </w:numPr>
      <w:spacing w:after="60" w:before="60"/>
      <w:ind/>
      <w:outlineLvl w:val="5"/>
    </w:pPr>
    <w:rPr>
      <w:b w:val="1"/>
      <w:i w:val="1"/>
      <w:sz w:val="24"/>
    </w:rPr>
  </w:style>
  <w:style w:styleId="Style_60_ch" w:type="character">
    <w:name w:val="heading 6"/>
    <w:basedOn w:val="Style_12_ch"/>
    <w:link w:val="Style_60"/>
    <w:rPr>
      <w:b w:val="1"/>
      <w:i w:val="1"/>
      <w:sz w:val="24"/>
    </w:rPr>
  </w:style>
  <w:style w:styleId="Style_61" w:type="paragraph">
    <w:name w:val="АР Прил 2 Знак"/>
    <w:basedOn w:val="Style_32"/>
    <w:link w:val="Style_61_ch"/>
    <w:rPr>
      <w:rFonts w:ascii="Times New Roman" w:hAnsi="Times New Roman"/>
      <w:b w:val="1"/>
      <w:sz w:val="24"/>
    </w:rPr>
  </w:style>
  <w:style w:styleId="Style_61_ch" w:type="character">
    <w:name w:val="АР Прил 2 Знак"/>
    <w:basedOn w:val="Style_32_ch"/>
    <w:link w:val="Style_61"/>
    <w:rPr>
      <w:rFonts w:ascii="Times New Roman" w:hAnsi="Times New Roman"/>
      <w:b w:val="1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2025-04-14T13:10:17Z</dcterms:created>
  <dcterms:modified xsi:type="dcterms:W3CDTF">2025-04-14T13:10:17Z</dcterms:modified>
</cp:coreProperties>
</file>